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ЮРОВ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АЛЕКСАНДР ПАВЛОВИЧ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29 декабря 1964 года в городе Липецке. Проживает в Липецкой области, город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Липецк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окончил Государственное образовательное учреждение высшего профессионального образования «Липецкий государственный педагогический университет» в 2007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директор в обществе с ограниченной ответственностью «Туристическое агентство «Ника».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«Липецкое областное отделение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политической партии «КОММУНИСТИЧЕСКАЯ ПАРТИЯ РОССИЙСКОЙ ФЕДЕРАЦИИ».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shd w:fill="auto" w:val="clear"/>
        </w:rPr>
        <w:t>Отсутствуют.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1 квартира, Липецкая область, 43,4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единиц: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автомобиль легковой — Лада Веста, 2019 г.в.;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 счета, на общую сумму — 28999,71 руб.</w:t>
      </w:r>
    </w:p>
    <w:p>
      <w:pPr>
        <w:pStyle w:val="Normal"/>
        <w:spacing w:lineRule="auto" w:line="276"/>
        <w:ind w:left="709" w:hanging="0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Иное участие в коммерческих организациях:</w:t>
      </w:r>
    </w:p>
    <w:p>
      <w:pPr>
        <w:pStyle w:val="Normal"/>
        <w:spacing w:lineRule="auto" w:line="276" w:before="0" w:after="160"/>
        <w:ind w:left="709" w:hanging="0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Общество с ограниченной ответственностью «Туристическое агенство «Ника»», 100%.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1 счет в П</w:t>
      </w:r>
      <w:r>
        <w:rPr>
          <w:rFonts w:ascii="Times New Roman" w:hAnsi="Times New Roman"/>
          <w:color w:val="000000"/>
          <w:sz w:val="28"/>
          <w:szCs w:val="28"/>
        </w:rPr>
        <w:t>убличном акционерном обществе «Банк ПСБ»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 с остатком 1,89 </w:t>
      </w:r>
      <w:r>
        <w:rPr>
          <w:rFonts w:ascii="Times New Roman" w:hAnsi="Times New Roman"/>
          <w:color w:val="000000"/>
          <w:sz w:val="28"/>
          <w:szCs w:val="28"/>
        </w:rPr>
        <w:t xml:space="preserve">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Публичном акционерном обществе Сбербанк  с остатком 0,00 руб.; </w:t>
      </w:r>
    </w:p>
    <w:p>
      <w:pPr>
        <w:pStyle w:val="Normal"/>
        <w:spacing w:lineRule="auto" w:line="276" w:before="0" w:after="16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Банк ВТБ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 остатком 0,00 руб. 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Application>LibreOffice/7.5.1.2$Windows_X86_64 LibreOffice_project/fcbaee479e84c6cd81291587d2ee68cba099e129</Application>
  <AppVersion>15.0000</AppVersion>
  <Pages>2</Pages>
  <Words>195</Words>
  <Characters>1388</Characters>
  <CharactersWithSpaces>1573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2025-09-04T13:58:32Z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